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1D7" w:rsidRPr="00E461D7" w:rsidRDefault="00E461D7" w:rsidP="00E461D7">
      <w:pPr>
        <w:pStyle w:val="BodyText"/>
        <w:spacing w:line="300" w:lineRule="exact"/>
        <w:ind w:left="0"/>
        <w:jc w:val="center"/>
        <w:rPr>
          <w:rFonts w:ascii="Trebuchet MS" w:hAnsi="Trebuchet MS" w:cstheme="minorHAnsi"/>
          <w:b/>
          <w:sz w:val="22"/>
          <w:szCs w:val="22"/>
          <w:lang w:eastAsia="en-GB"/>
        </w:rPr>
      </w:pPr>
      <w:r w:rsidRPr="00E461D7">
        <w:rPr>
          <w:rFonts w:ascii="Trebuchet MS" w:hAnsi="Trebuchet MS" w:cstheme="minorHAnsi"/>
          <w:b/>
          <w:sz w:val="22"/>
          <w:szCs w:val="22"/>
          <w:lang w:eastAsia="en-GB"/>
        </w:rPr>
        <w:t>The presence of a metal biliary stent has a negative impact on tissue diagnosis of head of pancreas masses</w:t>
      </w:r>
    </w:p>
    <w:p w:rsidR="00E461D7" w:rsidRPr="00E461D7" w:rsidRDefault="00E461D7" w:rsidP="00E461D7">
      <w:pPr>
        <w:pStyle w:val="BodyText"/>
        <w:spacing w:line="300" w:lineRule="exact"/>
        <w:ind w:left="0"/>
        <w:rPr>
          <w:rFonts w:ascii="Trebuchet MS" w:hAnsi="Trebuchet MS" w:cstheme="minorHAnsi"/>
          <w:sz w:val="22"/>
          <w:szCs w:val="22"/>
          <w:lang w:eastAsia="en-GB"/>
        </w:rPr>
      </w:pPr>
    </w:p>
    <w:p w:rsidR="00E461D7" w:rsidRPr="00E461D7" w:rsidRDefault="00E461D7" w:rsidP="00E461D7">
      <w:pPr>
        <w:pStyle w:val="BodyText"/>
        <w:spacing w:line="300" w:lineRule="exact"/>
        <w:ind w:left="0"/>
        <w:rPr>
          <w:rFonts w:ascii="Trebuchet MS" w:hAnsi="Trebuchet MS" w:cstheme="minorHAnsi"/>
          <w:color w:val="000000" w:themeColor="text1"/>
          <w:sz w:val="22"/>
          <w:szCs w:val="22"/>
          <w:u w:color="000000"/>
          <w:vertAlign w:val="superscript"/>
          <w:lang w:val="en-GB"/>
        </w:rPr>
      </w:pPr>
      <w:r w:rsidRPr="00E461D7">
        <w:rPr>
          <w:rFonts w:ascii="Trebuchet MS" w:hAnsi="Trebuchet MS" w:cstheme="minorHAnsi"/>
          <w:color w:val="000000" w:themeColor="text1"/>
          <w:sz w:val="22"/>
          <w:szCs w:val="22"/>
          <w:u w:color="000000"/>
          <w:lang w:val="en-GB"/>
        </w:rPr>
        <w:t>Noor LH Bekkali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u w:color="000000"/>
          <w:vertAlign w:val="superscript"/>
          <w:lang w:val="en-GB"/>
        </w:rPr>
        <w:t>1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lang w:val="en-GB"/>
        </w:rPr>
        <w:t>;</w:t>
      </w:r>
      <w:r w:rsidRPr="00E461D7">
        <w:rPr>
          <w:rFonts w:ascii="Trebuchet MS" w:hAnsi="Trebuchet MS" w:cstheme="minorHAnsi"/>
          <w:color w:val="000000" w:themeColor="text1"/>
          <w:spacing w:val="-7"/>
          <w:sz w:val="22"/>
          <w:szCs w:val="22"/>
          <w:lang w:val="en-GB"/>
        </w:rPr>
        <w:t xml:space="preserve"> Manu K 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lang w:val="en-GB"/>
        </w:rPr>
        <w:t>Nayar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u w:color="000000"/>
          <w:vertAlign w:val="superscript"/>
          <w:lang w:val="en-GB"/>
        </w:rPr>
        <w:t>1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lang w:val="en-GB"/>
        </w:rPr>
        <w:t>;</w:t>
      </w:r>
      <w:r w:rsidRPr="00E461D7">
        <w:rPr>
          <w:rFonts w:ascii="Trebuchet MS" w:hAnsi="Trebuchet MS" w:cstheme="minorHAnsi"/>
          <w:color w:val="000000" w:themeColor="text1"/>
          <w:spacing w:val="-7"/>
          <w:sz w:val="22"/>
          <w:szCs w:val="22"/>
          <w:lang w:val="en-GB"/>
        </w:rPr>
        <w:t xml:space="preserve"> 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lang w:val="en-GB"/>
        </w:rPr>
        <w:t>John S</w:t>
      </w:r>
      <w:r w:rsidRPr="00E461D7">
        <w:rPr>
          <w:rFonts w:ascii="Trebuchet MS" w:hAnsi="Trebuchet MS" w:cstheme="minorHAnsi"/>
          <w:color w:val="000000" w:themeColor="text1"/>
          <w:spacing w:val="-7"/>
          <w:sz w:val="22"/>
          <w:szCs w:val="22"/>
          <w:lang w:val="en-GB"/>
        </w:rPr>
        <w:t xml:space="preserve"> 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lang w:val="en-GB"/>
        </w:rPr>
        <w:t>Leeds</w:t>
      </w:r>
      <w:r w:rsidR="009A7795">
        <w:rPr>
          <w:rFonts w:ascii="Trebuchet MS" w:hAnsi="Trebuchet MS" w:cstheme="minorHAnsi"/>
          <w:color w:val="000000" w:themeColor="text1"/>
          <w:sz w:val="22"/>
          <w:szCs w:val="22"/>
          <w:u w:color="000000"/>
          <w:vertAlign w:val="superscript"/>
          <w:lang w:val="en-GB"/>
        </w:rPr>
        <w:t xml:space="preserve">1 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lang w:val="en-GB"/>
        </w:rPr>
        <w:t>;</w:t>
      </w:r>
      <w:r w:rsidRPr="00E461D7">
        <w:rPr>
          <w:rFonts w:ascii="Trebuchet MS" w:hAnsi="Trebuchet MS" w:cstheme="minorHAnsi"/>
          <w:color w:val="000000" w:themeColor="text1"/>
          <w:spacing w:val="-6"/>
          <w:sz w:val="22"/>
          <w:szCs w:val="22"/>
          <w:lang w:val="en-GB"/>
        </w:rPr>
        <w:t xml:space="preserve"> Sarah J 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lang w:val="en-GB"/>
        </w:rPr>
        <w:t>Johnson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u w:color="000000"/>
          <w:vertAlign w:val="superscript"/>
          <w:lang w:val="en-GB"/>
        </w:rPr>
        <w:t>2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lang w:val="en-GB"/>
        </w:rPr>
        <w:t>; Beate Haugk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u w:color="000000"/>
          <w:vertAlign w:val="superscript"/>
          <w:lang w:val="en-GB"/>
        </w:rPr>
        <w:t>2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lang w:val="en-GB"/>
        </w:rPr>
        <w:t>;</w:t>
      </w:r>
      <w:r w:rsidRPr="00E461D7">
        <w:rPr>
          <w:rFonts w:ascii="Trebuchet MS" w:hAnsi="Trebuchet MS" w:cstheme="minorHAnsi"/>
          <w:color w:val="000000" w:themeColor="text1"/>
          <w:spacing w:val="-7"/>
          <w:sz w:val="22"/>
          <w:szCs w:val="22"/>
          <w:lang w:val="en-GB"/>
        </w:rPr>
        <w:t xml:space="preserve"> Antony 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lang w:val="en-GB"/>
        </w:rPr>
        <w:t>Darne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u w:color="000000"/>
          <w:vertAlign w:val="superscript"/>
          <w:lang w:val="en-GB"/>
        </w:rPr>
        <w:t>2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lang w:val="en-GB"/>
        </w:rPr>
        <w:t>;</w:t>
      </w:r>
      <w:bookmarkStart w:id="0" w:name="_GoBack"/>
      <w:bookmarkEnd w:id="0"/>
      <w:r w:rsidRPr="00E461D7">
        <w:rPr>
          <w:rFonts w:ascii="Trebuchet MS" w:hAnsi="Trebuchet MS" w:cstheme="minorHAnsi"/>
          <w:color w:val="000000" w:themeColor="text1"/>
          <w:spacing w:val="-6"/>
          <w:sz w:val="22"/>
          <w:szCs w:val="22"/>
          <w:lang w:val="en-GB"/>
        </w:rPr>
        <w:t xml:space="preserve"> Richard M 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lang w:val="en-GB"/>
        </w:rPr>
        <w:t>Charnley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u w:color="000000"/>
          <w:vertAlign w:val="superscript"/>
          <w:lang w:val="en-GB"/>
        </w:rPr>
        <w:t>3</w:t>
      </w:r>
      <w:r w:rsidRPr="00E461D7">
        <w:rPr>
          <w:rFonts w:ascii="Trebuchet MS" w:hAnsi="Trebuchet MS" w:cstheme="minorHAnsi"/>
          <w:sz w:val="22"/>
          <w:szCs w:val="22"/>
        </w:rPr>
        <w:t xml:space="preserve">, </w:t>
      </w:r>
      <w:r w:rsidRPr="00E461D7">
        <w:rPr>
          <w:rFonts w:ascii="Trebuchet MS" w:hAnsi="Trebuchet MS" w:cstheme="minorHAnsi"/>
          <w:color w:val="000000" w:themeColor="text1"/>
          <w:spacing w:val="-6"/>
          <w:sz w:val="22"/>
          <w:szCs w:val="22"/>
          <w:lang w:val="en-GB"/>
        </w:rPr>
        <w:t xml:space="preserve">Kofi W 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lang w:val="en-GB"/>
        </w:rPr>
        <w:t>Oppong</w:t>
      </w:r>
      <w:r w:rsidRPr="00E461D7">
        <w:rPr>
          <w:rFonts w:ascii="Trebuchet MS" w:hAnsi="Trebuchet MS" w:cstheme="minorHAnsi"/>
          <w:color w:val="000000" w:themeColor="text1"/>
          <w:sz w:val="22"/>
          <w:szCs w:val="22"/>
          <w:u w:color="000000"/>
          <w:vertAlign w:val="superscript"/>
          <w:lang w:val="en-GB"/>
        </w:rPr>
        <w:t>1</w:t>
      </w:r>
    </w:p>
    <w:p w:rsidR="00E461D7" w:rsidRPr="00E461D7" w:rsidRDefault="00BC22AD" w:rsidP="00E461D7">
      <w:pPr>
        <w:rPr>
          <w:rFonts w:ascii="Trebuchet MS" w:hAnsi="Trebuchet MS"/>
          <w:b/>
          <w:bCs/>
        </w:rPr>
      </w:pPr>
      <w:r w:rsidRPr="004B28FC"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HPB endoscopy unit, </w:t>
      </w:r>
      <w:r w:rsidRPr="004B28FC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Department of Cellular Pathology, </w:t>
      </w:r>
      <w:r w:rsidRPr="00CF6DB7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HPB </w:t>
      </w:r>
      <w:proofErr w:type="gramStart"/>
      <w:r>
        <w:rPr>
          <w:rFonts w:ascii="Times New Roman" w:hAnsi="Times New Roman"/>
          <w:sz w:val="24"/>
          <w:szCs w:val="24"/>
        </w:rPr>
        <w:t>Surgical</w:t>
      </w:r>
      <w:proofErr w:type="gramEnd"/>
      <w:r>
        <w:rPr>
          <w:rFonts w:ascii="Times New Roman" w:hAnsi="Times New Roman"/>
          <w:sz w:val="24"/>
          <w:szCs w:val="24"/>
        </w:rPr>
        <w:t xml:space="preserve"> unit, </w:t>
      </w:r>
      <w:r w:rsidRPr="00CF6DB7">
        <w:rPr>
          <w:rFonts w:ascii="Times New Roman" w:hAnsi="Times New Roman"/>
          <w:sz w:val="24"/>
          <w:szCs w:val="24"/>
        </w:rPr>
        <w:t>Newcastle</w:t>
      </w:r>
      <w:r>
        <w:rPr>
          <w:rFonts w:ascii="Times New Roman" w:hAnsi="Times New Roman"/>
          <w:sz w:val="24"/>
          <w:szCs w:val="24"/>
        </w:rPr>
        <w:t xml:space="preserve"> Upon Tyne Teaching Hospitals Foundation Trust.</w:t>
      </w:r>
    </w:p>
    <w:p w:rsidR="00E461D7" w:rsidRPr="00E461D7" w:rsidRDefault="00E461D7" w:rsidP="00E461D7">
      <w:pPr>
        <w:rPr>
          <w:rFonts w:ascii="Trebuchet MS" w:hAnsi="Trebuchet MS"/>
        </w:rPr>
      </w:pPr>
      <w:r w:rsidRPr="00E461D7">
        <w:rPr>
          <w:rFonts w:ascii="Trebuchet MS" w:hAnsi="Trebuchet MS"/>
          <w:b/>
          <w:bCs/>
        </w:rPr>
        <w:t>Objective</w:t>
      </w:r>
      <w:r>
        <w:rPr>
          <w:rFonts w:ascii="Trebuchet MS" w:hAnsi="Trebuchet MS"/>
          <w:b/>
          <w:bCs/>
        </w:rPr>
        <w:t xml:space="preserve"> &amp; Aim</w:t>
      </w:r>
    </w:p>
    <w:p w:rsidR="00E461D7" w:rsidRPr="00E461D7" w:rsidRDefault="00E461D7" w:rsidP="00E461D7">
      <w:pPr>
        <w:rPr>
          <w:rFonts w:ascii="Trebuchet MS" w:hAnsi="Trebuchet MS"/>
          <w:bCs/>
          <w:lang w:val="en-US"/>
        </w:rPr>
      </w:pPr>
      <w:r w:rsidRPr="00E461D7">
        <w:rPr>
          <w:rFonts w:ascii="Trebuchet MS" w:hAnsi="Trebuchet MS"/>
          <w:lang w:val="en-US"/>
        </w:rPr>
        <w:t>Self-expanding metal stents (SEMS) are superior to plastic stents (PS) for relief of biliary obstruction due to a mass in the head of pancreas (HOP). Endoscopic ultrasound (EUS) fine needle aspiration (FNA) or fine needle biopsy (FNB) is recommended as the first line technique when a tissue diagnosis is required</w:t>
      </w:r>
      <w:r w:rsidR="009A7795">
        <w:rPr>
          <w:rFonts w:ascii="Trebuchet MS" w:hAnsi="Trebuchet MS"/>
          <w:lang w:val="en-US"/>
        </w:rPr>
        <w:t>.</w:t>
      </w:r>
      <w:r w:rsidRPr="00E461D7">
        <w:rPr>
          <w:rFonts w:ascii="Trebuchet MS" w:hAnsi="Trebuchet MS"/>
          <w:lang w:val="en-US"/>
        </w:rPr>
        <w:t xml:space="preserve"> However, it is unclear as to whether SEMS/ PS impair the performance of EUS- tissue sampling (TS).</w:t>
      </w:r>
      <w:r>
        <w:rPr>
          <w:rFonts w:ascii="Trebuchet MS" w:hAnsi="Trebuchet MS"/>
          <w:lang w:val="en-US"/>
        </w:rPr>
        <w:t xml:space="preserve"> Therefore, the aim of this study was to</w:t>
      </w:r>
      <w:r w:rsidRPr="00E461D7">
        <w:rPr>
          <w:rFonts w:ascii="Trebuchet MS" w:hAnsi="Trebuchet MS"/>
          <w:bCs/>
          <w:lang w:val="en-US"/>
        </w:rPr>
        <w:t xml:space="preserve"> assess whether SEMS/PS impair accurate EUS tissue diagnosis in HOP masses. </w:t>
      </w:r>
    </w:p>
    <w:p w:rsidR="00E461D7" w:rsidRPr="00E461D7" w:rsidRDefault="00E461D7" w:rsidP="00E461D7">
      <w:pPr>
        <w:rPr>
          <w:rFonts w:ascii="Trebuchet MS" w:hAnsi="Trebuchet MS"/>
        </w:rPr>
      </w:pPr>
      <w:r>
        <w:rPr>
          <w:rFonts w:ascii="Trebuchet MS" w:hAnsi="Trebuchet MS"/>
          <w:b/>
          <w:bCs/>
        </w:rPr>
        <w:t>Methods</w:t>
      </w:r>
    </w:p>
    <w:p w:rsidR="00E461D7" w:rsidRPr="00E461D7" w:rsidRDefault="00E461D7" w:rsidP="00E461D7">
      <w:pPr>
        <w:rPr>
          <w:rFonts w:ascii="Trebuchet MS" w:hAnsi="Trebuchet MS"/>
        </w:rPr>
      </w:pPr>
      <w:r w:rsidRPr="00E461D7">
        <w:rPr>
          <w:rFonts w:ascii="Trebuchet MS" w:hAnsi="Trebuchet MS"/>
          <w:lang w:val="en-US"/>
        </w:rPr>
        <w:t xml:space="preserve">All patients with a HOP mass who had EUS guided TS between January 2010 and June 2016 </w:t>
      </w:r>
      <w:proofErr w:type="gramStart"/>
      <w:r w:rsidRPr="00E461D7">
        <w:rPr>
          <w:rFonts w:ascii="Trebuchet MS" w:hAnsi="Trebuchet MS"/>
          <w:lang w:val="en-US"/>
        </w:rPr>
        <w:t>were</w:t>
      </w:r>
      <w:proofErr w:type="gramEnd"/>
      <w:r w:rsidRPr="00E461D7">
        <w:rPr>
          <w:rFonts w:ascii="Trebuchet MS" w:hAnsi="Trebuchet MS"/>
          <w:lang w:val="en-US"/>
        </w:rPr>
        <w:t xml:space="preserve"> included. Strict pathological criteria were used for diagnosis of malignancy. All patients had at least </w:t>
      </w:r>
      <w:r>
        <w:rPr>
          <w:rFonts w:ascii="Trebuchet MS" w:hAnsi="Trebuchet MS"/>
          <w:lang w:val="en-US"/>
        </w:rPr>
        <w:t>6</w:t>
      </w:r>
      <w:r w:rsidRPr="00E461D7">
        <w:rPr>
          <w:rFonts w:ascii="Trebuchet MS" w:hAnsi="Trebuchet MS"/>
          <w:lang w:val="en-US"/>
        </w:rPr>
        <w:t xml:space="preserve"> months follow-up.</w:t>
      </w:r>
    </w:p>
    <w:p w:rsidR="00E461D7" w:rsidRPr="00E461D7" w:rsidRDefault="00E461D7" w:rsidP="00E461D7">
      <w:pPr>
        <w:rPr>
          <w:rFonts w:ascii="Trebuchet MS" w:hAnsi="Trebuchet MS"/>
        </w:rPr>
      </w:pPr>
      <w:r w:rsidRPr="00E461D7">
        <w:rPr>
          <w:rFonts w:ascii="Trebuchet MS" w:hAnsi="Trebuchet MS"/>
          <w:b/>
          <w:bCs/>
          <w:lang w:val="nl-NL"/>
        </w:rPr>
        <w:t>Results</w:t>
      </w:r>
    </w:p>
    <w:p w:rsidR="00E461D7" w:rsidRPr="00263B6A" w:rsidRDefault="00E461D7" w:rsidP="00E461D7">
      <w:pPr>
        <w:rPr>
          <w:rFonts w:ascii="Trebuchet MS" w:hAnsi="Trebuchet MS"/>
          <w:color w:val="000000" w:themeColor="text1"/>
        </w:rPr>
      </w:pPr>
      <w:r w:rsidRPr="00E461D7">
        <w:rPr>
          <w:rFonts w:ascii="Trebuchet MS" w:hAnsi="Trebuchet MS"/>
          <w:lang w:val="en-US"/>
        </w:rPr>
        <w:t xml:space="preserve">A total of 1861 EUS-TS were performed </w:t>
      </w:r>
      <w:r w:rsidR="006D1C5B">
        <w:rPr>
          <w:rFonts w:ascii="Trebuchet MS" w:hAnsi="Trebuchet MS"/>
          <w:lang w:val="en-US"/>
        </w:rPr>
        <w:t xml:space="preserve">over the study period. </w:t>
      </w:r>
      <w:r w:rsidRPr="00E461D7">
        <w:rPr>
          <w:rFonts w:ascii="Trebuchet MS" w:hAnsi="Trebuchet MS"/>
          <w:lang w:val="en-US"/>
        </w:rPr>
        <w:t>698 procedures</w:t>
      </w:r>
      <w:r w:rsidR="00DB1A9E">
        <w:rPr>
          <w:rFonts w:ascii="Trebuchet MS" w:hAnsi="Trebuchet MS"/>
          <w:lang w:val="en-US"/>
        </w:rPr>
        <w:t xml:space="preserve"> were performed</w:t>
      </w:r>
      <w:r w:rsidRPr="00E461D7">
        <w:rPr>
          <w:rFonts w:ascii="Trebuchet MS" w:hAnsi="Trebuchet MS"/>
          <w:lang w:val="en-US"/>
        </w:rPr>
        <w:t xml:space="preserve"> in 631 individuals for HOP mass</w:t>
      </w:r>
      <w:r w:rsidR="00DB1A9E">
        <w:rPr>
          <w:rFonts w:ascii="Trebuchet MS" w:hAnsi="Trebuchet MS"/>
          <w:lang w:val="en-US"/>
        </w:rPr>
        <w:t xml:space="preserve"> (</w:t>
      </w:r>
      <w:r w:rsidRPr="00E461D7">
        <w:rPr>
          <w:rFonts w:ascii="Trebuchet MS" w:hAnsi="Trebuchet MS"/>
          <w:lang w:val="en-US"/>
        </w:rPr>
        <w:t>mean age was 65.4±10.9 years</w:t>
      </w:r>
      <w:r w:rsidR="00DB1A9E">
        <w:rPr>
          <w:rFonts w:ascii="Trebuchet MS" w:hAnsi="Trebuchet MS"/>
          <w:lang w:val="en-US"/>
        </w:rPr>
        <w:t>)</w:t>
      </w:r>
      <w:r w:rsidRPr="00E461D7">
        <w:rPr>
          <w:rFonts w:ascii="Trebuchet MS" w:hAnsi="Trebuchet MS"/>
          <w:lang w:val="en-US"/>
        </w:rPr>
        <w:t>. 535 (85%) were malignant</w:t>
      </w:r>
      <w:r w:rsidR="00423D16">
        <w:rPr>
          <w:rFonts w:ascii="Trebuchet MS" w:hAnsi="Trebuchet MS"/>
          <w:lang w:val="en-US"/>
        </w:rPr>
        <w:t xml:space="preserve">; </w:t>
      </w:r>
      <w:r w:rsidRPr="00E461D7">
        <w:rPr>
          <w:rFonts w:ascii="Trebuchet MS" w:hAnsi="Trebuchet MS"/>
          <w:lang w:val="en-US"/>
        </w:rPr>
        <w:t>141 had</w:t>
      </w:r>
      <w:r w:rsidR="00DB1A9E">
        <w:rPr>
          <w:rFonts w:ascii="Trebuchet MS" w:hAnsi="Trebuchet MS"/>
          <w:lang w:val="en-US"/>
        </w:rPr>
        <w:t xml:space="preserve"> prior</w:t>
      </w:r>
      <w:r w:rsidRPr="00E461D7">
        <w:rPr>
          <w:rFonts w:ascii="Trebuchet MS" w:hAnsi="Trebuchet MS"/>
          <w:lang w:val="en-US"/>
        </w:rPr>
        <w:t xml:space="preserve"> SEMS, 149</w:t>
      </w:r>
      <w:r w:rsidR="00DB1A9E">
        <w:rPr>
          <w:rFonts w:ascii="Trebuchet MS" w:hAnsi="Trebuchet MS"/>
          <w:lang w:val="en-US"/>
        </w:rPr>
        <w:t xml:space="preserve"> prior</w:t>
      </w:r>
      <w:r w:rsidRPr="00E461D7">
        <w:rPr>
          <w:rFonts w:ascii="Trebuchet MS" w:hAnsi="Trebuchet MS"/>
          <w:lang w:val="en-US"/>
        </w:rPr>
        <w:t xml:space="preserve"> PS and 341 without stent (WS).</w:t>
      </w:r>
      <w:r w:rsidR="006D1C5B">
        <w:rPr>
          <w:rFonts w:ascii="Trebuchet MS" w:hAnsi="Trebuchet MS"/>
          <w:lang w:val="en-US"/>
        </w:rPr>
        <w:t xml:space="preserve"> </w:t>
      </w:r>
      <w:r w:rsidRPr="00E461D7">
        <w:rPr>
          <w:rFonts w:ascii="Trebuchet MS" w:hAnsi="Trebuchet MS"/>
          <w:lang w:val="en-US"/>
        </w:rPr>
        <w:t>EUS-TS had 73% (511/698) overall accuracy; SEMS accuracy was 67% (109/163) compared to 69% (115/167) for PS and 78% (287/368) in WS. On multivariable analysis the presence of SEMS was associated with incorrect diagnosis (OR 1.96 95% CI 1.24-3.1, p=0.02</w:t>
      </w:r>
      <w:r w:rsidR="00BC22AD">
        <w:rPr>
          <w:rFonts w:ascii="Trebuchet MS" w:hAnsi="Trebuchet MS"/>
          <w:lang w:val="en-US"/>
        </w:rPr>
        <w:t>)</w:t>
      </w:r>
      <w:r w:rsidR="00263B6A">
        <w:rPr>
          <w:rFonts w:ascii="Trebuchet MS" w:hAnsi="Trebuchet MS"/>
          <w:lang w:val="en-US"/>
        </w:rPr>
        <w:t xml:space="preserve">. </w:t>
      </w:r>
      <w:r w:rsidR="006A6FF5">
        <w:rPr>
          <w:rFonts w:ascii="Trebuchet MS" w:hAnsi="Trebuchet MS"/>
          <w:lang w:val="en-US"/>
        </w:rPr>
        <w:t xml:space="preserve">Increasing </w:t>
      </w:r>
      <w:proofErr w:type="spellStart"/>
      <w:r w:rsidR="006A6FF5">
        <w:rPr>
          <w:rFonts w:ascii="Trebuchet MS" w:hAnsi="Trebuchet MS"/>
          <w:lang w:val="en-US"/>
        </w:rPr>
        <w:t>tumour</w:t>
      </w:r>
      <w:proofErr w:type="spellEnd"/>
      <w:r w:rsidR="006A6FF5">
        <w:rPr>
          <w:rFonts w:ascii="Trebuchet MS" w:hAnsi="Trebuchet MS"/>
          <w:lang w:val="en-US"/>
        </w:rPr>
        <w:t xml:space="preserve"> size, increas</w:t>
      </w:r>
      <w:r w:rsidR="00357A66">
        <w:rPr>
          <w:rFonts w:ascii="Trebuchet MS" w:hAnsi="Trebuchet MS"/>
          <w:lang w:val="en-US"/>
        </w:rPr>
        <w:t>ing</w:t>
      </w:r>
      <w:r w:rsidR="006A6FF5">
        <w:rPr>
          <w:rFonts w:ascii="Trebuchet MS" w:hAnsi="Trebuchet MS"/>
          <w:lang w:val="en-US"/>
        </w:rPr>
        <w:t xml:space="preserve"> number of passes and use of a </w:t>
      </w:r>
      <w:proofErr w:type="spellStart"/>
      <w:r w:rsidR="006A6FF5">
        <w:rPr>
          <w:rFonts w:ascii="Trebuchet MS" w:hAnsi="Trebuchet MS"/>
          <w:lang w:val="en-US"/>
        </w:rPr>
        <w:t>Sharkcore</w:t>
      </w:r>
      <w:proofErr w:type="spellEnd"/>
      <w:r w:rsidR="006A6FF5">
        <w:rPr>
          <w:rFonts w:ascii="Trebuchet MS" w:hAnsi="Trebuchet MS"/>
          <w:lang w:val="en-US"/>
        </w:rPr>
        <w:t xml:space="preserve"> needle were independently associated</w:t>
      </w:r>
      <w:r w:rsidR="00263B6A">
        <w:rPr>
          <w:rFonts w:ascii="Trebuchet MS" w:hAnsi="Trebuchet MS"/>
          <w:lang w:val="en-US"/>
        </w:rPr>
        <w:t xml:space="preserve"> with improved accuracy (Table 1).</w:t>
      </w:r>
      <w:r w:rsidRPr="00E461D7">
        <w:rPr>
          <w:rFonts w:ascii="Trebuchet MS" w:hAnsi="Trebuchet MS"/>
          <w:lang w:val="en-US"/>
        </w:rPr>
        <w:t xml:space="preserve"> Repeat TS was more common (10.2%) in cases with SEMS than in those WS (4.5%)</w:t>
      </w:r>
      <w:r w:rsidR="006A6FF5">
        <w:rPr>
          <w:rFonts w:ascii="Trebuchet MS" w:hAnsi="Trebuchet MS"/>
          <w:lang w:val="en-US"/>
        </w:rPr>
        <w:t xml:space="preserve"> or PS (2.9%</w:t>
      </w:r>
      <w:r w:rsidR="00357A66">
        <w:rPr>
          <w:rFonts w:ascii="Trebuchet MS" w:hAnsi="Trebuchet MS"/>
          <w:lang w:val="en-US"/>
        </w:rPr>
        <w:t>, p&lt;0.02</w:t>
      </w:r>
      <w:r w:rsidR="006A6FF5">
        <w:rPr>
          <w:rFonts w:ascii="Trebuchet MS" w:hAnsi="Trebuchet MS"/>
          <w:lang w:val="en-US"/>
        </w:rPr>
        <w:t>)</w:t>
      </w:r>
      <w:r w:rsidR="00423D16">
        <w:rPr>
          <w:rFonts w:ascii="Trebuchet MS" w:hAnsi="Trebuchet MS"/>
          <w:lang w:val="en-US"/>
        </w:rPr>
        <w:t>.</w:t>
      </w:r>
      <w:r w:rsidR="00263B6A">
        <w:rPr>
          <w:rFonts w:ascii="Trebuchet MS" w:hAnsi="Trebuchet MS"/>
          <w:b/>
          <w:color w:val="00B0F0"/>
          <w:lang w:val="en-US"/>
        </w:rPr>
        <w:t xml:space="preserve"> </w:t>
      </w:r>
      <w:r w:rsidR="00263B6A" w:rsidRPr="00263B6A">
        <w:rPr>
          <w:rFonts w:ascii="Trebuchet MS" w:hAnsi="Trebuchet MS"/>
          <w:color w:val="000000" w:themeColor="text1"/>
          <w:lang w:val="en-US"/>
        </w:rPr>
        <w:t>T</w:t>
      </w:r>
      <w:r w:rsidRPr="00263B6A">
        <w:rPr>
          <w:rFonts w:ascii="Trebuchet MS" w:hAnsi="Trebuchet MS"/>
          <w:color w:val="000000" w:themeColor="text1"/>
        </w:rPr>
        <w:t xml:space="preserve">here was no difference between </w:t>
      </w:r>
      <w:r w:rsidR="006A6FF5" w:rsidRPr="00263B6A">
        <w:rPr>
          <w:rFonts w:ascii="Trebuchet MS" w:hAnsi="Trebuchet MS"/>
          <w:color w:val="000000" w:themeColor="text1"/>
        </w:rPr>
        <w:t xml:space="preserve">PS and </w:t>
      </w:r>
      <w:r w:rsidRPr="00263B6A">
        <w:rPr>
          <w:rFonts w:ascii="Trebuchet MS" w:hAnsi="Trebuchet MS"/>
          <w:color w:val="000000" w:themeColor="text1"/>
        </w:rPr>
        <w:t>WS.</w:t>
      </w:r>
    </w:p>
    <w:p w:rsidR="00E461D7" w:rsidRPr="00E461D7" w:rsidRDefault="00E461D7" w:rsidP="00E461D7">
      <w:pPr>
        <w:rPr>
          <w:rFonts w:ascii="Trebuchet MS" w:hAnsi="Trebuchet MS"/>
        </w:rPr>
      </w:pPr>
      <w:r w:rsidRPr="00E461D7">
        <w:rPr>
          <w:rFonts w:ascii="Trebuchet MS" w:hAnsi="Trebuchet MS"/>
          <w:b/>
          <w:bCs/>
        </w:rPr>
        <w:t>Conclusion</w:t>
      </w:r>
    </w:p>
    <w:p w:rsidR="00E461D7" w:rsidRPr="00E461D7" w:rsidRDefault="006A6FF5" w:rsidP="00E461D7">
      <w:pPr>
        <w:rPr>
          <w:rFonts w:ascii="Trebuchet MS" w:hAnsi="Trebuchet MS"/>
        </w:rPr>
      </w:pPr>
      <w:r>
        <w:rPr>
          <w:rFonts w:ascii="Trebuchet MS" w:hAnsi="Trebuchet MS"/>
          <w:bCs/>
          <w:lang w:val="en-US"/>
        </w:rPr>
        <w:t xml:space="preserve">The </w:t>
      </w:r>
      <w:r w:rsidR="00263B6A">
        <w:rPr>
          <w:rFonts w:ascii="Trebuchet MS" w:hAnsi="Trebuchet MS"/>
          <w:bCs/>
          <w:lang w:val="en-US"/>
        </w:rPr>
        <w:t>p</w:t>
      </w:r>
      <w:r w:rsidR="00E461D7" w:rsidRPr="00E461D7">
        <w:rPr>
          <w:rFonts w:ascii="Trebuchet MS" w:hAnsi="Trebuchet MS"/>
          <w:bCs/>
          <w:lang w:val="en-US"/>
        </w:rPr>
        <w:t>resence of SEMS has a negative impact on tissue diagnosis of HOP masses, leading to more repeat procedures, which is likely to delay treatment.</w:t>
      </w:r>
    </w:p>
    <w:p w:rsidR="00B76A9E" w:rsidRDefault="00B76A9E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page"/>
      </w:r>
    </w:p>
    <w:p w:rsidR="00B76A9E" w:rsidRPr="00D76F77" w:rsidRDefault="00B76A9E" w:rsidP="00B76A9E">
      <w:pPr>
        <w:spacing w:after="0" w:line="240" w:lineRule="auto"/>
        <w:rPr>
          <w:rFonts w:cstheme="minorHAnsi"/>
          <w:b/>
        </w:rPr>
      </w:pPr>
      <w:proofErr w:type="gramStart"/>
      <w:r w:rsidRPr="003858B8">
        <w:rPr>
          <w:rFonts w:cstheme="minorHAnsi"/>
          <w:b/>
          <w:sz w:val="20"/>
          <w:szCs w:val="20"/>
        </w:rPr>
        <w:lastRenderedPageBreak/>
        <w:t xml:space="preserve">Table </w:t>
      </w:r>
      <w:r>
        <w:rPr>
          <w:rFonts w:cstheme="minorHAnsi"/>
          <w:b/>
          <w:sz w:val="20"/>
          <w:szCs w:val="20"/>
        </w:rPr>
        <w:t>1</w:t>
      </w:r>
      <w:r w:rsidRPr="003858B8">
        <w:rPr>
          <w:rFonts w:cstheme="minorHAnsi"/>
          <w:b/>
          <w:sz w:val="20"/>
          <w:szCs w:val="20"/>
        </w:rPr>
        <w:t>.</w:t>
      </w:r>
      <w:proofErr w:type="gramEnd"/>
      <w:r w:rsidRPr="003858B8">
        <w:rPr>
          <w:rFonts w:cstheme="minorHAnsi"/>
          <w:sz w:val="20"/>
          <w:szCs w:val="20"/>
        </w:rPr>
        <w:t xml:space="preserve"> Factors associated with incorrect tissue diagnosis in patients with definite diagnosis, benign or cancer, applying multivariable diagnosis.</w:t>
      </w:r>
    </w:p>
    <w:tbl>
      <w:tblPr>
        <w:tblW w:w="3528" w:type="pct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843"/>
        <w:gridCol w:w="1276"/>
        <w:gridCol w:w="1559"/>
        <w:gridCol w:w="1843"/>
      </w:tblGrid>
      <w:tr w:rsidR="00B76A9E" w:rsidRPr="003858B8" w:rsidTr="00E6635D">
        <w:tc>
          <w:tcPr>
            <w:tcW w:w="1413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76A9E" w:rsidRPr="003858B8" w:rsidRDefault="00B76A9E" w:rsidP="00E6635D">
            <w:pPr>
              <w:rPr>
                <w:rFonts w:cstheme="minorHAnsi"/>
                <w:b/>
                <w:sz w:val="20"/>
                <w:szCs w:val="20"/>
              </w:rPr>
            </w:pPr>
            <w:r w:rsidRPr="003858B8">
              <w:rPr>
                <w:rFonts w:cstheme="minorHAnsi"/>
                <w:b/>
                <w:sz w:val="20"/>
                <w:szCs w:val="20"/>
              </w:rPr>
              <w:t>Variable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6A9E" w:rsidRPr="003858B8" w:rsidRDefault="00B76A9E" w:rsidP="00E6635D">
            <w:pPr>
              <w:rPr>
                <w:rFonts w:cstheme="minorHAnsi"/>
                <w:b/>
                <w:sz w:val="20"/>
                <w:szCs w:val="20"/>
              </w:rPr>
            </w:pPr>
            <w:r w:rsidRPr="003858B8">
              <w:rPr>
                <w:rFonts w:cstheme="minorHAnsi"/>
                <w:b/>
                <w:sz w:val="20"/>
                <w:szCs w:val="20"/>
              </w:rPr>
              <w:t>Category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76A9E" w:rsidRPr="003858B8" w:rsidRDefault="00B76A9E" w:rsidP="00E6635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58B8">
              <w:rPr>
                <w:rFonts w:cstheme="minorHAnsi"/>
                <w:b/>
                <w:sz w:val="20"/>
                <w:szCs w:val="20"/>
              </w:rPr>
              <w:t>Odds Ratio (95% CI)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76A9E" w:rsidRPr="003858B8" w:rsidRDefault="00B76A9E" w:rsidP="00E6635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58B8">
              <w:rPr>
                <w:rFonts w:cstheme="minorHAnsi"/>
                <w:b/>
                <w:sz w:val="20"/>
                <w:szCs w:val="20"/>
              </w:rPr>
              <w:t>P-value</w:t>
            </w:r>
          </w:p>
        </w:tc>
      </w:tr>
      <w:tr w:rsidR="00B76A9E" w:rsidRPr="003858B8" w:rsidTr="00E6635D">
        <w:tc>
          <w:tcPr>
            <w:tcW w:w="1413" w:type="pct"/>
            <w:tcBorders>
              <w:top w:val="nil"/>
              <w:right w:val="single" w:sz="4" w:space="0" w:color="auto"/>
            </w:tcBorders>
          </w:tcPr>
          <w:p w:rsidR="00B76A9E" w:rsidRPr="003858B8" w:rsidRDefault="00B76A9E" w:rsidP="00E6635D">
            <w:pPr>
              <w:rPr>
                <w:rFonts w:cstheme="minorHAnsi"/>
                <w:b/>
                <w:sz w:val="20"/>
                <w:szCs w:val="20"/>
              </w:rPr>
            </w:pPr>
            <w:r w:rsidRPr="003858B8">
              <w:rPr>
                <w:rFonts w:cstheme="minorHAnsi"/>
                <w:b/>
                <w:sz w:val="20"/>
                <w:szCs w:val="20"/>
              </w:rPr>
              <w:t>Number of passes</w:t>
            </w:r>
          </w:p>
        </w:tc>
        <w:tc>
          <w:tcPr>
            <w:tcW w:w="978" w:type="pct"/>
            <w:tcBorders>
              <w:top w:val="nil"/>
              <w:left w:val="single" w:sz="4" w:space="0" w:color="auto"/>
              <w:right w:val="single" w:sz="6" w:space="0" w:color="auto"/>
            </w:tcBorders>
          </w:tcPr>
          <w:p w:rsidR="00B76A9E" w:rsidRPr="003858B8" w:rsidRDefault="00B76A9E" w:rsidP="00E6635D">
            <w:pPr>
              <w:rPr>
                <w:rFonts w:cstheme="minorHAnsi"/>
                <w:sz w:val="20"/>
                <w:szCs w:val="20"/>
              </w:rPr>
            </w:pPr>
            <w:r w:rsidRPr="003858B8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A9E" w:rsidRPr="003858B8" w:rsidRDefault="00B76A9E" w:rsidP="00E663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58B8">
              <w:rPr>
                <w:rFonts w:cstheme="minorHAnsi"/>
                <w:sz w:val="20"/>
                <w:szCs w:val="20"/>
              </w:rPr>
              <w:t>0.84 (0.72, 0.99)</w:t>
            </w:r>
          </w:p>
        </w:tc>
        <w:tc>
          <w:tcPr>
            <w:tcW w:w="14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A9E" w:rsidRPr="003858B8" w:rsidRDefault="00B76A9E" w:rsidP="00E663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58B8">
              <w:rPr>
                <w:rFonts w:cstheme="minorHAnsi"/>
                <w:sz w:val="20"/>
                <w:szCs w:val="20"/>
              </w:rPr>
              <w:t>0.04</w:t>
            </w:r>
          </w:p>
        </w:tc>
      </w:tr>
      <w:tr w:rsidR="00B76A9E" w:rsidRPr="003858B8" w:rsidTr="00E6635D">
        <w:tc>
          <w:tcPr>
            <w:tcW w:w="1413" w:type="pct"/>
            <w:tcBorders>
              <w:top w:val="nil"/>
              <w:right w:val="single" w:sz="4" w:space="0" w:color="auto"/>
            </w:tcBorders>
          </w:tcPr>
          <w:p w:rsidR="00B76A9E" w:rsidRPr="003858B8" w:rsidRDefault="00B76A9E" w:rsidP="00E6635D">
            <w:pPr>
              <w:rPr>
                <w:rFonts w:cstheme="minorHAnsi"/>
                <w:b/>
                <w:sz w:val="20"/>
                <w:szCs w:val="20"/>
              </w:rPr>
            </w:pPr>
            <w:r w:rsidRPr="003858B8">
              <w:rPr>
                <w:rFonts w:cstheme="minorHAnsi"/>
                <w:b/>
                <w:sz w:val="20"/>
                <w:szCs w:val="20"/>
              </w:rPr>
              <w:t xml:space="preserve">Type of needle </w:t>
            </w:r>
            <w:r w:rsidRPr="003858B8">
              <w:rPr>
                <w:rFonts w:cstheme="minorHAnsi"/>
                <w:b/>
                <w:sz w:val="20"/>
                <w:szCs w:val="20"/>
                <w:vertAlign w:val="superscript"/>
              </w:rPr>
              <w:t>(++)</w:t>
            </w:r>
          </w:p>
        </w:tc>
        <w:tc>
          <w:tcPr>
            <w:tcW w:w="978" w:type="pct"/>
            <w:tcBorders>
              <w:top w:val="nil"/>
              <w:left w:val="single" w:sz="4" w:space="0" w:color="auto"/>
              <w:right w:val="single" w:sz="6" w:space="0" w:color="auto"/>
            </w:tcBorders>
          </w:tcPr>
          <w:p w:rsidR="00B76A9E" w:rsidRPr="003858B8" w:rsidRDefault="00B76A9E" w:rsidP="00E6635D">
            <w:pPr>
              <w:rPr>
                <w:rFonts w:cstheme="minorHAnsi"/>
                <w:sz w:val="20"/>
                <w:szCs w:val="20"/>
              </w:rPr>
            </w:pPr>
            <w:r w:rsidRPr="003858B8">
              <w:rPr>
                <w:rFonts w:cstheme="minorHAnsi"/>
                <w:sz w:val="20"/>
                <w:szCs w:val="20"/>
              </w:rPr>
              <w:t>FNA</w:t>
            </w:r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A9E" w:rsidRPr="003858B8" w:rsidRDefault="00B76A9E" w:rsidP="00E6635D">
            <w:pPr>
              <w:rPr>
                <w:rFonts w:cstheme="minorHAnsi"/>
                <w:sz w:val="20"/>
                <w:szCs w:val="20"/>
              </w:rPr>
            </w:pPr>
            <w:r w:rsidRPr="003858B8">
              <w:rPr>
                <w:rFonts w:cstheme="minorHAnsi"/>
                <w:sz w:val="20"/>
                <w:szCs w:val="20"/>
              </w:rPr>
              <w:t xml:space="preserve">      1</w:t>
            </w:r>
          </w:p>
        </w:tc>
        <w:tc>
          <w:tcPr>
            <w:tcW w:w="14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A9E" w:rsidRPr="003858B8" w:rsidRDefault="00B76A9E" w:rsidP="00E663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58B8">
              <w:rPr>
                <w:rFonts w:cstheme="minorHAnsi"/>
                <w:sz w:val="20"/>
                <w:szCs w:val="20"/>
              </w:rPr>
              <w:t>0.04</w:t>
            </w:r>
          </w:p>
        </w:tc>
      </w:tr>
      <w:tr w:rsidR="00B76A9E" w:rsidRPr="003858B8" w:rsidTr="00E6635D">
        <w:tc>
          <w:tcPr>
            <w:tcW w:w="1413" w:type="pct"/>
            <w:tcBorders>
              <w:top w:val="nil"/>
              <w:right w:val="single" w:sz="4" w:space="0" w:color="auto"/>
            </w:tcBorders>
          </w:tcPr>
          <w:p w:rsidR="00B76A9E" w:rsidRPr="003858B8" w:rsidRDefault="00B76A9E" w:rsidP="00E6635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nil"/>
              <w:left w:val="single" w:sz="4" w:space="0" w:color="auto"/>
              <w:right w:val="single" w:sz="6" w:space="0" w:color="auto"/>
            </w:tcBorders>
          </w:tcPr>
          <w:p w:rsidR="00B76A9E" w:rsidRPr="003858B8" w:rsidRDefault="00B76A9E" w:rsidP="00E6635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858B8">
              <w:rPr>
                <w:rFonts w:cstheme="minorHAnsi"/>
                <w:sz w:val="20"/>
                <w:szCs w:val="20"/>
              </w:rPr>
              <w:t>Procore</w:t>
            </w:r>
            <w:proofErr w:type="spellEnd"/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A9E" w:rsidRPr="003858B8" w:rsidRDefault="00B76A9E" w:rsidP="00E663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58B8">
              <w:rPr>
                <w:rFonts w:cstheme="minorHAnsi"/>
                <w:sz w:val="20"/>
                <w:szCs w:val="20"/>
              </w:rPr>
              <w:t>0.81 (0.52, 1.26)</w:t>
            </w:r>
          </w:p>
        </w:tc>
        <w:tc>
          <w:tcPr>
            <w:tcW w:w="14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A9E" w:rsidRPr="003858B8" w:rsidRDefault="00B76A9E" w:rsidP="00E6635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6A9E" w:rsidRPr="003858B8" w:rsidTr="00E6635D">
        <w:tc>
          <w:tcPr>
            <w:tcW w:w="1413" w:type="pct"/>
            <w:tcBorders>
              <w:top w:val="nil"/>
              <w:right w:val="single" w:sz="4" w:space="0" w:color="auto"/>
            </w:tcBorders>
          </w:tcPr>
          <w:p w:rsidR="00B76A9E" w:rsidRPr="003858B8" w:rsidRDefault="00B76A9E" w:rsidP="00E6635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nil"/>
              <w:left w:val="single" w:sz="4" w:space="0" w:color="auto"/>
              <w:right w:val="single" w:sz="6" w:space="0" w:color="auto"/>
            </w:tcBorders>
          </w:tcPr>
          <w:p w:rsidR="00B76A9E" w:rsidRPr="003858B8" w:rsidRDefault="00B76A9E" w:rsidP="00E6635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858B8">
              <w:rPr>
                <w:rFonts w:cstheme="minorHAnsi"/>
                <w:sz w:val="20"/>
                <w:szCs w:val="20"/>
              </w:rPr>
              <w:t>Sharkcore</w:t>
            </w:r>
            <w:proofErr w:type="spellEnd"/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A9E" w:rsidRPr="003858B8" w:rsidRDefault="00B76A9E" w:rsidP="00E663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58B8">
              <w:rPr>
                <w:rFonts w:cstheme="minorHAnsi"/>
                <w:sz w:val="20"/>
                <w:szCs w:val="20"/>
              </w:rPr>
              <w:t>0.52 (0.31, 0.86)</w:t>
            </w:r>
          </w:p>
        </w:tc>
        <w:tc>
          <w:tcPr>
            <w:tcW w:w="14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A9E" w:rsidRPr="003858B8" w:rsidRDefault="00B76A9E" w:rsidP="00E6635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6A9E" w:rsidRPr="003858B8" w:rsidTr="00E6635D">
        <w:tc>
          <w:tcPr>
            <w:tcW w:w="1413" w:type="pct"/>
            <w:tcBorders>
              <w:right w:val="single" w:sz="4" w:space="0" w:color="auto"/>
            </w:tcBorders>
            <w:shd w:val="clear" w:color="auto" w:fill="auto"/>
          </w:tcPr>
          <w:p w:rsidR="00B76A9E" w:rsidRPr="003858B8" w:rsidRDefault="00B76A9E" w:rsidP="00E6635D">
            <w:pPr>
              <w:rPr>
                <w:rFonts w:cstheme="minorHAnsi"/>
                <w:b/>
                <w:sz w:val="20"/>
                <w:szCs w:val="20"/>
              </w:rPr>
            </w:pPr>
            <w:r w:rsidRPr="003858B8">
              <w:rPr>
                <w:rFonts w:cstheme="minorHAnsi"/>
                <w:b/>
                <w:sz w:val="20"/>
                <w:szCs w:val="20"/>
              </w:rPr>
              <w:t>Stent type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6" w:space="0" w:color="auto"/>
            </w:tcBorders>
          </w:tcPr>
          <w:p w:rsidR="00B76A9E" w:rsidRPr="003858B8" w:rsidRDefault="00B76A9E" w:rsidP="00E6635D">
            <w:pPr>
              <w:rPr>
                <w:rFonts w:cstheme="minorHAnsi"/>
                <w:sz w:val="20"/>
                <w:szCs w:val="20"/>
              </w:rPr>
            </w:pPr>
            <w:r w:rsidRPr="003858B8">
              <w:rPr>
                <w:rFonts w:cstheme="minorHAnsi"/>
                <w:sz w:val="20"/>
                <w:szCs w:val="20"/>
              </w:rPr>
              <w:t>No stent</w:t>
            </w:r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A9E" w:rsidRPr="003858B8" w:rsidRDefault="00B76A9E" w:rsidP="00E6635D">
            <w:pPr>
              <w:rPr>
                <w:rFonts w:cstheme="minorHAnsi"/>
                <w:sz w:val="20"/>
                <w:szCs w:val="20"/>
              </w:rPr>
            </w:pPr>
            <w:r w:rsidRPr="003858B8">
              <w:rPr>
                <w:rFonts w:cstheme="minorHAnsi"/>
                <w:sz w:val="20"/>
                <w:szCs w:val="20"/>
              </w:rPr>
              <w:t xml:space="preserve">      1</w:t>
            </w:r>
          </w:p>
        </w:tc>
        <w:tc>
          <w:tcPr>
            <w:tcW w:w="14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A9E" w:rsidRPr="003858B8" w:rsidRDefault="00B76A9E" w:rsidP="00E663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58B8">
              <w:rPr>
                <w:rFonts w:cstheme="minorHAnsi"/>
                <w:sz w:val="20"/>
                <w:szCs w:val="20"/>
              </w:rPr>
              <w:t>0.02</w:t>
            </w:r>
          </w:p>
        </w:tc>
      </w:tr>
      <w:tr w:rsidR="00B76A9E" w:rsidRPr="003858B8" w:rsidTr="00E6635D">
        <w:tc>
          <w:tcPr>
            <w:tcW w:w="1413" w:type="pct"/>
            <w:tcBorders>
              <w:right w:val="single" w:sz="4" w:space="0" w:color="auto"/>
            </w:tcBorders>
            <w:shd w:val="clear" w:color="auto" w:fill="auto"/>
          </w:tcPr>
          <w:p w:rsidR="00B76A9E" w:rsidRPr="003858B8" w:rsidRDefault="00B76A9E" w:rsidP="00E6635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78" w:type="pct"/>
            <w:tcBorders>
              <w:left w:val="single" w:sz="4" w:space="0" w:color="auto"/>
              <w:right w:val="single" w:sz="6" w:space="0" w:color="auto"/>
            </w:tcBorders>
          </w:tcPr>
          <w:p w:rsidR="00B76A9E" w:rsidRPr="003858B8" w:rsidRDefault="00B76A9E" w:rsidP="00E6635D">
            <w:pPr>
              <w:rPr>
                <w:rFonts w:cstheme="minorHAnsi"/>
                <w:sz w:val="20"/>
                <w:szCs w:val="20"/>
              </w:rPr>
            </w:pPr>
            <w:r w:rsidRPr="003858B8">
              <w:rPr>
                <w:rFonts w:cstheme="minorHAnsi"/>
                <w:sz w:val="20"/>
                <w:szCs w:val="20"/>
              </w:rPr>
              <w:t>Metal</w:t>
            </w:r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A9E" w:rsidRPr="003858B8" w:rsidRDefault="00B76A9E" w:rsidP="00E663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58B8">
              <w:rPr>
                <w:rFonts w:cstheme="minorHAnsi"/>
                <w:sz w:val="20"/>
                <w:szCs w:val="20"/>
              </w:rPr>
              <w:t>1.96 (1.24, 3.10)</w:t>
            </w:r>
          </w:p>
        </w:tc>
        <w:tc>
          <w:tcPr>
            <w:tcW w:w="14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A9E" w:rsidRPr="003858B8" w:rsidRDefault="00B76A9E" w:rsidP="00E6635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6A9E" w:rsidRPr="003858B8" w:rsidTr="00E6635D">
        <w:tc>
          <w:tcPr>
            <w:tcW w:w="1413" w:type="pct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76A9E" w:rsidRPr="003858B8" w:rsidRDefault="00B76A9E" w:rsidP="00E6635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78" w:type="pct"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B76A9E" w:rsidRPr="003858B8" w:rsidRDefault="00B76A9E" w:rsidP="00E6635D">
            <w:pPr>
              <w:rPr>
                <w:rFonts w:cstheme="minorHAnsi"/>
                <w:sz w:val="20"/>
                <w:szCs w:val="20"/>
              </w:rPr>
            </w:pPr>
            <w:r w:rsidRPr="003858B8">
              <w:rPr>
                <w:rFonts w:cstheme="minorHAnsi"/>
                <w:sz w:val="20"/>
                <w:szCs w:val="20"/>
              </w:rPr>
              <w:t>Plastic</w:t>
            </w:r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A9E" w:rsidRPr="003858B8" w:rsidRDefault="00B76A9E" w:rsidP="00E663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58B8">
              <w:rPr>
                <w:rFonts w:cstheme="minorHAnsi"/>
                <w:sz w:val="20"/>
                <w:szCs w:val="20"/>
              </w:rPr>
              <w:t>1.22 (0.76, 1.97)</w:t>
            </w:r>
          </w:p>
        </w:tc>
        <w:tc>
          <w:tcPr>
            <w:tcW w:w="14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A9E" w:rsidRPr="003858B8" w:rsidRDefault="00B76A9E" w:rsidP="00E6635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6A9E" w:rsidRPr="003858B8" w:rsidTr="00E6635D">
        <w:tc>
          <w:tcPr>
            <w:tcW w:w="1413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A9E" w:rsidRPr="003858B8" w:rsidRDefault="00B76A9E" w:rsidP="00E6635D">
            <w:pPr>
              <w:rPr>
                <w:rFonts w:cstheme="minorHAnsi"/>
                <w:b/>
                <w:sz w:val="20"/>
                <w:szCs w:val="20"/>
              </w:rPr>
            </w:pPr>
            <w:r w:rsidRPr="003858B8">
              <w:rPr>
                <w:rFonts w:cstheme="minorHAnsi"/>
                <w:b/>
                <w:sz w:val="20"/>
                <w:szCs w:val="20"/>
              </w:rPr>
              <w:t xml:space="preserve">Tumour size (mm) </w:t>
            </w:r>
            <w:r w:rsidRPr="003858B8">
              <w:rPr>
                <w:rFonts w:cstheme="minorHAnsi"/>
                <w:b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76A9E" w:rsidRPr="003858B8" w:rsidRDefault="00B76A9E" w:rsidP="00E6635D">
            <w:pPr>
              <w:rPr>
                <w:rFonts w:cstheme="minorHAnsi"/>
                <w:sz w:val="20"/>
                <w:szCs w:val="20"/>
              </w:rPr>
            </w:pPr>
            <w:r w:rsidRPr="003858B8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9E" w:rsidRPr="003858B8" w:rsidRDefault="00B76A9E" w:rsidP="00E663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58B8">
              <w:rPr>
                <w:rFonts w:cstheme="minorHAnsi"/>
                <w:sz w:val="20"/>
                <w:szCs w:val="20"/>
              </w:rPr>
              <w:t>0.72 (0.59, 0.87)</w:t>
            </w:r>
          </w:p>
        </w:tc>
        <w:tc>
          <w:tcPr>
            <w:tcW w:w="1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9E" w:rsidRPr="003858B8" w:rsidRDefault="00B76A9E" w:rsidP="00E663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58B8">
              <w:rPr>
                <w:rFonts w:cstheme="minorHAnsi"/>
                <w:sz w:val="20"/>
                <w:szCs w:val="20"/>
              </w:rPr>
              <w:t xml:space="preserve">  0.001</w:t>
            </w:r>
          </w:p>
        </w:tc>
      </w:tr>
    </w:tbl>
    <w:p w:rsidR="00B76A9E" w:rsidRPr="003858B8" w:rsidRDefault="00B76A9E" w:rsidP="00B76A9E">
      <w:pPr>
        <w:spacing w:after="0"/>
        <w:ind w:firstLine="720"/>
        <w:rPr>
          <w:rFonts w:cstheme="minorHAnsi"/>
          <w:sz w:val="18"/>
          <w:szCs w:val="18"/>
        </w:rPr>
      </w:pPr>
      <w:r w:rsidRPr="003858B8">
        <w:rPr>
          <w:rFonts w:cstheme="minorHAnsi"/>
          <w:sz w:val="18"/>
          <w:szCs w:val="18"/>
        </w:rPr>
        <w:t>(*) Odds Ratios given for a 10-unit increase in predictor variable</w:t>
      </w:r>
    </w:p>
    <w:p w:rsidR="00B76A9E" w:rsidRPr="003858B8" w:rsidRDefault="00B76A9E" w:rsidP="00B76A9E">
      <w:pPr>
        <w:spacing w:after="0"/>
        <w:ind w:firstLine="720"/>
        <w:rPr>
          <w:rFonts w:cstheme="minorHAnsi"/>
          <w:sz w:val="18"/>
          <w:szCs w:val="18"/>
        </w:rPr>
      </w:pPr>
      <w:r w:rsidRPr="003858B8">
        <w:rPr>
          <w:rFonts w:cstheme="minorHAnsi"/>
          <w:sz w:val="18"/>
          <w:szCs w:val="18"/>
        </w:rPr>
        <w:t>(++) Omitting data from 1 patient with multiple needle types</w:t>
      </w:r>
    </w:p>
    <w:p w:rsidR="00B76A9E" w:rsidRPr="00261601" w:rsidRDefault="00B76A9E" w:rsidP="00B76A9E">
      <w:pPr>
        <w:rPr>
          <w:rFonts w:cstheme="minorHAnsi"/>
        </w:rPr>
      </w:pPr>
    </w:p>
    <w:p w:rsidR="00E461D7" w:rsidRPr="00E461D7" w:rsidRDefault="00E461D7" w:rsidP="00E461D7">
      <w:pPr>
        <w:rPr>
          <w:rFonts w:ascii="Trebuchet MS" w:hAnsi="Trebuchet MS"/>
        </w:rPr>
      </w:pPr>
    </w:p>
    <w:p w:rsidR="00621821" w:rsidRPr="00E461D7" w:rsidRDefault="006D1C5B">
      <w:pPr>
        <w:rPr>
          <w:rFonts w:ascii="Trebuchet MS" w:hAnsi="Trebuchet MS"/>
        </w:rPr>
      </w:pPr>
    </w:p>
    <w:sectPr w:rsidR="00621821" w:rsidRPr="00E461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D7"/>
    <w:rsid w:val="001F4DBB"/>
    <w:rsid w:val="00263B6A"/>
    <w:rsid w:val="00357A66"/>
    <w:rsid w:val="00423D16"/>
    <w:rsid w:val="00480EAB"/>
    <w:rsid w:val="006A6FF5"/>
    <w:rsid w:val="006D1C5B"/>
    <w:rsid w:val="009A7795"/>
    <w:rsid w:val="00B76A9E"/>
    <w:rsid w:val="00BC22AD"/>
    <w:rsid w:val="00D46616"/>
    <w:rsid w:val="00DB1A9E"/>
    <w:rsid w:val="00E4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461D7"/>
    <w:pPr>
      <w:widowControl w:val="0"/>
      <w:spacing w:after="0" w:line="240" w:lineRule="auto"/>
      <w:ind w:left="100"/>
    </w:pPr>
    <w:rPr>
      <w:rFonts w:ascii="Arial Unicode MS" w:eastAsia="Arial Unicode MS" w:hAnsi="Arial Unicode MS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E461D7"/>
    <w:rPr>
      <w:rFonts w:ascii="Arial Unicode MS" w:eastAsia="Arial Unicode MS" w:hAnsi="Arial Unicode MS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461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61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61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1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61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6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1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461D7"/>
    <w:pPr>
      <w:widowControl w:val="0"/>
      <w:spacing w:after="0" w:line="240" w:lineRule="auto"/>
      <w:ind w:left="100"/>
    </w:pPr>
    <w:rPr>
      <w:rFonts w:ascii="Arial Unicode MS" w:eastAsia="Arial Unicode MS" w:hAnsi="Arial Unicode MS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E461D7"/>
    <w:rPr>
      <w:rFonts w:ascii="Arial Unicode MS" w:eastAsia="Arial Unicode MS" w:hAnsi="Arial Unicode MS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461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61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61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1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61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6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1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upon Tyne Hospitals NHS Foundation Trust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Bekkali, Noor</dc:creator>
  <cp:lastModifiedBy>Bekkali, Noor</cp:lastModifiedBy>
  <cp:revision>3</cp:revision>
  <dcterms:created xsi:type="dcterms:W3CDTF">2017-09-27T16:20:00Z</dcterms:created>
  <dcterms:modified xsi:type="dcterms:W3CDTF">2017-09-27T16:21:00Z</dcterms:modified>
</cp:coreProperties>
</file>